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16</w:t>
      </w:r>
    </w:p>
    <w:p>
      <w:r>
        <w:t>Bundesgericht (BGE), 1969-01-27, DE</w:t>
      </w:r>
    </w:p>
    <w:p>
      <w:r>
        <w:rPr>
          <w:b/>
        </w:rPr>
        <w:t xml:space="preserve">Quelle: </w:t>
      </w:r>
      <w:r>
        <w:t>https://mcp.opencaselaw.ch/entscheid/bge_95 III 16</w:t>
      </w:r>
    </w:p>
    <w:p>
      <w:r>
        <w:t>FR: ATF 95 III 16</w:t>
      </w:r>
    </w:p>
    <w:p>
      <w:r>
        <w:t>IT: DTF 95 III 16</w:t>
      </w:r>
    </w:p>
    <w:p>
      <w:pPr>
        <w:pStyle w:val="Heading2"/>
      </w:pPr>
      <w:r>
        <w:t>Regeste</w:t>
      </w:r>
    </w:p>
    <w:p>
      <w:r>
        <w:t>Regeste 1. Verwertungsaufschub nach Art. 123 SchKG. Unpünktliche Leistung einer Abschlagszahlung. Folgen. (Erw. 1). 2. Verzichtet ein Gläubiger auf die Verwertung, wenn er längere Zeit untätig zusieht, wie das Betreibungsamt nach Ablauf der gesetzlichen Dauer des Verwertungsaufschubes, dessen Bedingungen der Schuldner nicht erfüllte, mit der Verwertung weiterhin zuwartet? Frage offen gelassen. - Hat der Gläubiger in der Zwischenzeit das Betreibungsamt mehrmals an das Ausbleiben der Abschlagszahlungen erinnert, so verstösst die Annahme, er habe den Anspruch auf Verwertung verwirkt, gegen Treu und Glauben. (Erw. 2).</w:t>
      </w:r>
    </w:p>
    <w:p>
      <w:pPr>
        <w:pStyle w:val="Heading2"/>
      </w:pPr>
      <w:r>
        <w:t>Erwägungen</w:t>
      </w:r>
    </w:p>
    <w:p>
      <w:r>
        <w:rPr>
          <w:b/>
        </w:rPr>
        <w:t>E. 1</w:t>
      </w:r>
    </w:p>
    <w:p>
      <w:r>
        <w:t>Nach Art. 116 SchKG kann der Gläubiger die Verwertung der gepfändeten Liegenschaften frühestens sechs Monate und spätestens zwei Jahre nach der Pfändung verlangen. Wird das Verwertungsbegehren nicht innerhalb dieser Frist gestellt oder wird es zurückgezogen und nicht erneuert, so erlischt die Betreibung ( Art. 121 SchKG ). Nach der Praxis gilt der dem Schuldner vom Gläubiger bewilligte Aufschub als Rückzug des Verwertungsbegehrens (Archiv für Schuldbetreibung und Konkurs Bd. 8 Nr. 37; BGE 41 III 431 , BGE 42 III 44 Erw. 2 und BGE 85 III 72 ; JAEGER, Kommentar, N. 3 zu Art. 121 SchKG ). Wird der Aufschub jedoch vom Betreibungsamt gestützt auf Art. 123 SchKG gewährt, so kann darin nicht ein Rückzug des Verwertungsbegehrens erblickt werden. Nach dieser Bestimmung kann der Betreibungsbeamte die Verwertung um höchstens sieben Monate hinausschieben, wenn der Schuldner glaubhaft macht, dass er in finanzielle Bedrängnis geraten ist und wenn er sich zu regelmässigen Abschlagszahlungen an das Betreibungsamt verpflichtet und die erste Zahlung bereits geleistet hat. Der Aufschub fällt von Gesetzes wegen dahin, wenn eine Abschlagszahlung nicht pünktlich erfolgt ( Art. 123 Abs. 4 SchKG erster Satz). Das Betreibungsamt hat dann von sich aus, ohne ein Begehren des Gläubigers abzuwarten, die Versteigerung anzuordnen (vgl. JAEGER, Kommentar, N. 7 zu Art. 123 SchKG ; ferner die Fussnote in Formular Nr. 29a betr. die Aufschubsbewilligung: "... Das Betreibungsamt hat von sich aus, ohne neues Begehren des Gläubigers, die Verwertung anzuordnen."). Nach der Rechtsprechung ist das Betreibungsamt nicht einmal befugt, den Schuldner zu mahnen und ihm eine letzte Frist zur Zahlung einzuräumen ( BGE 73 III 93 und BGE 88 III 22 Erw. 3). Da die Erteilung und das Erlöschen der Aufschubsbewilligung gestützt auf Art. 123 BGE 95 III 16 S. 19 SchKG unabhängig vom Willen des Gläubigers erfolgen, findet Art. 121 SchKG darauf keine Anwendung. Daraus folgt, dass bei Wegfall des Aufschubes die Verwertung auch angeordnet werden muss, wenn die in Art. 116 SchKG enthaltenen Fristen bereits abgelaufen sind (JAEGER, Kommentar, N. 4 zu Art. 121 und N. 7 zu Art. 123 SchKG ).</w:t>
      </w:r>
    </w:p>
    <w:p>
      <w:r>
        <w:rPr>
          <w:b/>
        </w:rPr>
        <w:t>E. 2</w:t>
      </w:r>
    </w:p>
    <w:p>
      <w:r>
        <w:t>Es ist unbestritten, dass der Gläubiger in den drei gegen den Schuldner angestrengten Betreibungen das Pfändungs- und das Verwertungsbegehren jeweilen rechtzeitig gestellt hat. Er hat das Verwertungsbegehren auch nicht etwa zurückgezogen, weder ausdrücklich noch durch Gewährung eines Zahlungsaufschubes. Der dem Schuldner vom Betreibungsamt bewilligte Verwertungsaufschub aber machte das Verwertungsbegehren, wie dargelegt, nicht hinfällig. Vielmehr wurde dieses Begehren, da der Schuldner den Abzahlungsplan nicht einhielt, ohne weiteres vollziehbar. Der Umstand, dass das Betreibungsamt diese Massnahme ungebührlich verzögerte, bildet keinen Grund, die alsdann mehr als zwei Jahre nach der letzten Pfändung getroffene Anordnung nicht mehr gelten zu lassen. Nun erhebt sich allerdings die Frage, ob dann, wenn das Betreibungsamt den dem Schuldner erteilten Aufschub gesetzwidrig über die Frist von sieben (bezw. drei) Monaten hinaus verlängert und der Gläubiger dabei längere Zeit untätig zusieht, dieses Verhalten des Gläubigers, gleich wie wenn er den Aufschub selber bewilligt hätte, als Rückzug des Verwertungsbegehrens zu betrachten sei. Diese Frage muss hier jedoch nicht beantwortet werden. Gewiss darf ein Gläubiger die Untätigkeit des Betreibungsamtes nicht jahrelang dulden, ohne zu riskieren, dass sein Verhalten als Verzicht auf die Verwertung ausgelegt wird. Im vorliegenden Fall würde ein solcher Schluss aber gegen das Prinzip von Treu und Glauben verstossen. Wie die Vorinstanz für das Bundesgericht verbindlich festgestellt hat, ist der Schuldner vom Betreibungsbeamten hin und wieder mündlich gemahnt worden und hat er weitere Zahlungen versprochen. Bereits am 29. April 1965 hat das Betreibungsamt dem Schuldner auch schriftlich mitgeteilt, dass es laufend Reklamationen des Gläubigers wegen der Verzögerung in der Bezahlung der Aufschubsraten erhalte. Den Rekursbeilagen ist zu entnehmen, dass das Gemeindesteueramt H. mehrmals schriftlich beim Betreibungsamt wegen der BGE 95 III 16 S. 20 Nichtleistung der Raten vorstellig geworden ist und am 8. April 1967 sogar ausdrücklich die Durchführung der Versteigerung der gepfändeten Liegenschaft verlangt hat. Diese Unterlagen dürfen gemäss Art. 79 Abs. 1 OG im bundesgerichtlichen Verfahren berücksichtigt werden, weil der Gläubiger im kantonalen Verfahren nicht zu Worte gekommen ist. Eine Verzögerung in der Anordnung der Verwertung ist auch durch den Beamtenwechsel auf dem Betreibungsamt entstanden. Unter diesen Umständen darf aus dem Verhalten des Gemeindesteueramtes nicht auf den Rückzug des Verwertungsbegehrens geschlossen werden. Beim gegebenen Sachverhalt darf aber auch nicht Verwirkung des Anspruchs des Gläubigers auf die Versteigerung der gepfändeten Liegenschaft angenommen werden, wie die Vorinstanz dies getan hat. Die von der kantonalen Aufsichtsbehörde in diesem Zusammenhang angestellten Überlegungen sind unbehelflich. Es geht hier nicht darum, die übermässigen Verzögerungen in den Betreibungsverfahren zu decken und die der Aufsichtsbehörde unterstellten Betreibungsämter zur Fortsetzung einer derart ungesetzlichen Amtsführung zu ermächtigen. Es ist auch nicht von Bedeutung, dass bei Gutheissung des Rekurses die "Verantwortlichkeiten zu einseitig verteilt" werden und der zuständige Betreibungsbeamte von allfälligen Disziplinarmassnahmen verschont werden kann. Entscheidend ist hier allein, dass das Verhalten des Gläubigers nicht als Rückzug des Verwertungsbegehrens ausgelegt werden darf, wenn das Steueramt auch nicht zum letzten Mittel gegriffen und eine Rechtsverzögerungsbeschwerde eingereicht hat. Es ist anderseits zu berücksichtigen, dass der Schuldner, der mit dem Versprechen weiterer Zahlungen neue vom Gesetz verpönte Aufschubsbewilligungen erwirkt hat, aber offenbar wenig zahlungswillig ist, nicht mit dem Erlöschen der Betreibungen belohnt werden soll. Die gegen den Schuldner gerichteten Betreibungen Nr. 3136, 4038 und 7275 des Betreibungsamtes H. sind daher weiterzuführen. Dispositiv Demnach erkennt die Schuldbetr.- u. Konkurskammer: Der Rekurs wird gutgeheissen, der angefochtene Entscheid aufgehoben und das Betreibungsamt H. angewiesen, die Versteigerung der Liegenschaft des Schuldners in den Betreibungen Nr. 3136, 4038 und 7275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